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11F" w:rsidRPr="00807FA0" w:rsidRDefault="0099011F" w:rsidP="0099011F">
      <w:pPr>
        <w:numPr>
          <w:ilvl w:val="0"/>
          <w:numId w:val="1"/>
        </w:numPr>
        <w:spacing w:before="240"/>
        <w:ind w:left="709" w:hanging="709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state of the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>
        <w:rPr>
          <w:rFonts w:ascii="Arial" w:hAnsi="Arial" w:cs="Arial"/>
          <w:bCs/>
          <w:spacing w:val="-3"/>
          <w:sz w:val="22"/>
          <w:szCs w:val="22"/>
        </w:rPr>
        <w:t xml:space="preserve"> gas market is assessed annually via the Gas Market Review (GMR), </w:t>
      </w:r>
      <w:r w:rsidRPr="00716BF9">
        <w:rPr>
          <w:rFonts w:ascii="Arial" w:hAnsi="Arial" w:cs="Arial"/>
          <w:bCs/>
          <w:spacing w:val="-3"/>
          <w:sz w:val="22"/>
          <w:szCs w:val="22"/>
        </w:rPr>
        <w:t>in consultation with participants</w:t>
      </w:r>
      <w:r>
        <w:rPr>
          <w:rFonts w:ascii="Arial" w:hAnsi="Arial" w:cs="Arial"/>
          <w:bCs/>
          <w:spacing w:val="-3"/>
          <w:sz w:val="22"/>
          <w:szCs w:val="22"/>
        </w:rPr>
        <w:t>.  The review</w:t>
      </w:r>
      <w:r w:rsidRPr="00716BF9">
        <w:rPr>
          <w:rFonts w:ascii="Arial" w:hAnsi="Arial" w:cs="Arial"/>
          <w:bCs/>
          <w:spacing w:val="-3"/>
          <w:sz w:val="22"/>
          <w:szCs w:val="22"/>
        </w:rPr>
        <w:t xml:space="preserve"> provides advice to Government on security of supply for domestic customers and gas market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development </w:t>
      </w:r>
      <w:r w:rsidRPr="00716BF9">
        <w:rPr>
          <w:rFonts w:ascii="Arial" w:hAnsi="Arial" w:cs="Arial"/>
          <w:bCs/>
          <w:spacing w:val="-3"/>
          <w:sz w:val="22"/>
          <w:szCs w:val="22"/>
        </w:rPr>
        <w:t>issues.</w:t>
      </w:r>
    </w:p>
    <w:p w:rsidR="0099011F" w:rsidRDefault="0099011F" w:rsidP="0099011F">
      <w:pPr>
        <w:numPr>
          <w:ilvl w:val="0"/>
          <w:numId w:val="1"/>
        </w:numPr>
        <w:autoSpaceDE w:val="0"/>
        <w:autoSpaceDN w:val="0"/>
        <w:adjustRightInd w:val="0"/>
        <w:spacing w:before="240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the 2012 GMR Report modelling and analysis was undertaken on a range of issues relevant to the future of the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>
        <w:rPr>
          <w:rFonts w:ascii="Arial" w:hAnsi="Arial" w:cs="Arial"/>
          <w:sz w:val="22"/>
          <w:szCs w:val="22"/>
        </w:rPr>
        <w:t xml:space="preserve"> (and broader e</w:t>
      </w:r>
      <w:r w:rsidRPr="000D4008">
        <w:rPr>
          <w:rFonts w:ascii="Arial" w:hAnsi="Arial" w:cs="Arial"/>
          <w:sz w:val="22"/>
          <w:szCs w:val="22"/>
        </w:rPr>
        <w:t>astern Australian</w:t>
      </w:r>
      <w:r>
        <w:rPr>
          <w:rFonts w:ascii="Arial" w:hAnsi="Arial" w:cs="Arial"/>
          <w:sz w:val="22"/>
          <w:szCs w:val="22"/>
        </w:rPr>
        <w:t xml:space="preserve">) </w:t>
      </w:r>
      <w:r w:rsidRPr="000D4008">
        <w:rPr>
          <w:rFonts w:ascii="Arial" w:hAnsi="Arial" w:cs="Arial"/>
          <w:sz w:val="22"/>
          <w:szCs w:val="22"/>
        </w:rPr>
        <w:t xml:space="preserve">gas market, </w:t>
      </w:r>
      <w:r>
        <w:rPr>
          <w:rFonts w:ascii="Arial" w:hAnsi="Arial" w:cs="Arial"/>
          <w:sz w:val="22"/>
          <w:szCs w:val="22"/>
        </w:rPr>
        <w:t xml:space="preserve">including: </w:t>
      </w:r>
    </w:p>
    <w:p w:rsidR="0099011F" w:rsidRPr="00246FAC" w:rsidRDefault="0099011F" w:rsidP="0099011F">
      <w:pPr>
        <w:pStyle w:val="Body"/>
        <w:numPr>
          <w:ilvl w:val="0"/>
          <w:numId w:val="3"/>
        </w:numPr>
        <w:tabs>
          <w:tab w:val="left" w:pos="1134"/>
        </w:tabs>
        <w:spacing w:line="240" w:lineRule="auto"/>
        <w:ind w:left="1260" w:hanging="551"/>
        <w:jc w:val="both"/>
        <w:rPr>
          <w:rFonts w:cs="Arial"/>
          <w:lang w:eastAsia="en-AU"/>
        </w:rPr>
      </w:pPr>
      <w:r w:rsidRPr="00246FAC">
        <w:rPr>
          <w:rFonts w:cs="Arial"/>
          <w:lang w:eastAsia="en-AU"/>
        </w:rPr>
        <w:t xml:space="preserve">Domestic gas demand and LNG export development in </w:t>
      </w:r>
      <w:smartTag w:uri="urn:schemas-microsoft-com:office:smarttags" w:element="place">
        <w:smartTag w:uri="urn:schemas-microsoft-com:office:smarttags" w:element="State">
          <w:r w:rsidRPr="00246FAC">
            <w:rPr>
              <w:rFonts w:cs="Arial"/>
              <w:lang w:eastAsia="en-AU"/>
            </w:rPr>
            <w:t>Queensland</w:t>
          </w:r>
        </w:smartTag>
      </w:smartTag>
      <w:r w:rsidRPr="00246FAC">
        <w:rPr>
          <w:rFonts w:cs="Arial"/>
          <w:lang w:eastAsia="en-AU"/>
        </w:rPr>
        <w:t>;</w:t>
      </w:r>
    </w:p>
    <w:p w:rsidR="0099011F" w:rsidRPr="00246FAC" w:rsidRDefault="0099011F" w:rsidP="0099011F">
      <w:pPr>
        <w:pStyle w:val="Body"/>
        <w:numPr>
          <w:ilvl w:val="0"/>
          <w:numId w:val="3"/>
        </w:numPr>
        <w:tabs>
          <w:tab w:val="left" w:pos="1134"/>
        </w:tabs>
        <w:spacing w:line="240" w:lineRule="auto"/>
        <w:ind w:left="1260" w:hanging="551"/>
        <w:jc w:val="both"/>
        <w:rPr>
          <w:rFonts w:cs="Arial"/>
          <w:lang w:eastAsia="en-AU"/>
        </w:rPr>
      </w:pPr>
      <w:r w:rsidRPr="00246FAC">
        <w:rPr>
          <w:rFonts w:cs="Arial"/>
          <w:lang w:eastAsia="en-AU"/>
        </w:rPr>
        <w:t>Energy prices, particularly international oil prices and gas prices;</w:t>
      </w:r>
    </w:p>
    <w:p w:rsidR="0099011F" w:rsidRPr="00246FAC" w:rsidRDefault="0099011F" w:rsidP="0099011F">
      <w:pPr>
        <w:pStyle w:val="Body"/>
        <w:numPr>
          <w:ilvl w:val="0"/>
          <w:numId w:val="3"/>
        </w:numPr>
        <w:tabs>
          <w:tab w:val="left" w:pos="1134"/>
        </w:tabs>
        <w:spacing w:line="240" w:lineRule="auto"/>
        <w:ind w:left="1134" w:hanging="425"/>
        <w:jc w:val="both"/>
        <w:rPr>
          <w:rFonts w:cs="Arial"/>
          <w:lang w:eastAsia="en-AU"/>
        </w:rPr>
      </w:pPr>
      <w:r w:rsidRPr="00246FAC">
        <w:rPr>
          <w:rFonts w:cs="Arial"/>
          <w:lang w:eastAsia="en-AU"/>
        </w:rPr>
        <w:t>Economic growth and associated commodity prices;</w:t>
      </w:r>
    </w:p>
    <w:p w:rsidR="0099011F" w:rsidRPr="00246FAC" w:rsidRDefault="0099011F" w:rsidP="0099011F">
      <w:pPr>
        <w:pStyle w:val="Body"/>
        <w:numPr>
          <w:ilvl w:val="0"/>
          <w:numId w:val="3"/>
        </w:numPr>
        <w:tabs>
          <w:tab w:val="left" w:pos="1134"/>
        </w:tabs>
        <w:spacing w:line="240" w:lineRule="auto"/>
        <w:ind w:left="1260" w:hanging="551"/>
        <w:jc w:val="both"/>
        <w:rPr>
          <w:rFonts w:cs="Arial"/>
          <w:lang w:eastAsia="en-AU"/>
        </w:rPr>
      </w:pPr>
      <w:r w:rsidRPr="00246FAC">
        <w:rPr>
          <w:rFonts w:cs="Arial"/>
          <w:lang w:eastAsia="en-AU"/>
        </w:rPr>
        <w:t>Gas production costs; and</w:t>
      </w:r>
    </w:p>
    <w:p w:rsidR="0099011F" w:rsidRPr="00246FAC" w:rsidRDefault="0099011F" w:rsidP="0099011F">
      <w:pPr>
        <w:pStyle w:val="Body"/>
        <w:numPr>
          <w:ilvl w:val="0"/>
          <w:numId w:val="3"/>
        </w:numPr>
        <w:tabs>
          <w:tab w:val="left" w:pos="1134"/>
        </w:tabs>
        <w:spacing w:after="200" w:line="240" w:lineRule="auto"/>
        <w:ind w:left="1260" w:hanging="551"/>
        <w:jc w:val="both"/>
        <w:rPr>
          <w:rFonts w:cs="Arial"/>
          <w:lang w:eastAsia="en-AU"/>
        </w:rPr>
      </w:pPr>
      <w:r w:rsidRPr="00246FAC">
        <w:t>Gas reserves estimates and projections</w:t>
      </w:r>
      <w:r>
        <w:t xml:space="preserve">. </w:t>
      </w:r>
    </w:p>
    <w:p w:rsidR="0099011F" w:rsidRDefault="0099011F" w:rsidP="0099011F">
      <w:pPr>
        <w:numPr>
          <w:ilvl w:val="0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Industry stakeholders have been consulted extensively throughout the 2012 GMR process and made </w:t>
      </w:r>
      <w:r w:rsidRPr="002C529D">
        <w:rPr>
          <w:rFonts w:ascii="Arial" w:hAnsi="Arial" w:cs="Arial"/>
          <w:sz w:val="22"/>
          <w:szCs w:val="22"/>
        </w:rPr>
        <w:t>written submissions in response to the</w:t>
      </w:r>
      <w:r>
        <w:rPr>
          <w:rFonts w:ascii="Arial" w:hAnsi="Arial" w:cs="Arial"/>
          <w:sz w:val="22"/>
          <w:szCs w:val="22"/>
        </w:rPr>
        <w:t xml:space="preserve"> draft 2012 GMR Report. Submissions were incorporated, as appropriate, into the final 2012 GMR Report</w:t>
      </w:r>
      <w:r w:rsidRPr="002C529D">
        <w:rPr>
          <w:rFonts w:ascii="Arial" w:hAnsi="Arial" w:cs="Arial"/>
          <w:sz w:val="22"/>
          <w:szCs w:val="22"/>
        </w:rPr>
        <w:t xml:space="preserve">. </w:t>
      </w:r>
    </w:p>
    <w:p w:rsidR="0099011F" w:rsidRDefault="0099011F" w:rsidP="0099011F">
      <w:pPr>
        <w:numPr>
          <w:ilvl w:val="0"/>
          <w:numId w:val="1"/>
        </w:numPr>
        <w:spacing w:before="240"/>
        <w:ind w:hanging="720"/>
        <w:jc w:val="both"/>
        <w:rPr>
          <w:rFonts w:ascii="Arial" w:hAnsi="Arial" w:cs="Arial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Pr="00355B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release of the final 2012 Gas Market Review.</w:t>
      </w:r>
    </w:p>
    <w:p w:rsidR="0099011F" w:rsidRPr="0099011F" w:rsidRDefault="0099011F" w:rsidP="0099011F">
      <w:pPr>
        <w:keepNext/>
        <w:numPr>
          <w:ilvl w:val="0"/>
          <w:numId w:val="1"/>
        </w:numPr>
        <w:tabs>
          <w:tab w:val="clear" w:pos="720"/>
        </w:tabs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99011F" w:rsidRPr="0099011F" w:rsidRDefault="0099011F" w:rsidP="0099011F">
      <w:pPr>
        <w:keepNext/>
        <w:spacing w:before="120"/>
        <w:ind w:left="709"/>
        <w:jc w:val="both"/>
        <w:rPr>
          <w:rFonts w:ascii="Arial" w:hAnsi="Arial" w:cs="Arial"/>
          <w:sz w:val="22"/>
          <w:szCs w:val="22"/>
        </w:rPr>
      </w:pPr>
    </w:p>
    <w:p w:rsidR="00EC5418" w:rsidRPr="0099011F" w:rsidRDefault="00EF6AF2" w:rsidP="0099011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hyperlink r:id="rId7" w:history="1">
        <w:r w:rsidR="0099011F" w:rsidRPr="00174525">
          <w:rPr>
            <w:rStyle w:val="Hyperlink"/>
            <w:rFonts w:ascii="Arial" w:hAnsi="Arial" w:cs="Arial"/>
            <w:sz w:val="22"/>
            <w:szCs w:val="22"/>
          </w:rPr>
          <w:t>2012 Gas Market Review</w:t>
        </w:r>
      </w:hyperlink>
    </w:p>
    <w:sectPr w:rsidR="00EC5418" w:rsidRPr="0099011F" w:rsidSect="00CB255A">
      <w:headerReference w:type="default" r:id="rId8"/>
      <w:pgSz w:w="11906" w:h="16838" w:code="9"/>
      <w:pgMar w:top="1440" w:right="851" w:bottom="144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A70" w:rsidRDefault="008D5A70" w:rsidP="00D6589B">
      <w:r>
        <w:separator/>
      </w:r>
    </w:p>
  </w:endnote>
  <w:endnote w:type="continuationSeparator" w:id="0">
    <w:p w:rsidR="008D5A70" w:rsidRDefault="008D5A70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A70" w:rsidRDefault="008D5A70" w:rsidP="00D6589B">
      <w:r>
        <w:separator/>
      </w:r>
    </w:p>
  </w:footnote>
  <w:footnote w:type="continuationSeparator" w:id="0">
    <w:p w:rsidR="008D5A70" w:rsidRDefault="008D5A70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95A" w:rsidRPr="00D75134" w:rsidRDefault="008C495A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8C495A" w:rsidRPr="00D75134" w:rsidRDefault="008C495A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8C495A" w:rsidRPr="001E209B" w:rsidRDefault="008C495A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99011F">
      <w:rPr>
        <w:rFonts w:ascii="Arial" w:hAnsi="Arial" w:cs="Arial"/>
        <w:b/>
        <w:sz w:val="22"/>
        <w:szCs w:val="22"/>
      </w:rPr>
      <w:t>September</w:t>
    </w:r>
    <w:r w:rsidRPr="001E209B">
      <w:rPr>
        <w:rFonts w:ascii="Arial" w:hAnsi="Arial" w:cs="Arial"/>
        <w:b/>
        <w:sz w:val="22"/>
        <w:szCs w:val="22"/>
      </w:rPr>
      <w:t xml:space="preserve"> 2012</w:t>
    </w:r>
  </w:p>
  <w:p w:rsidR="008C495A" w:rsidRDefault="0099011F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807FA0">
      <w:rPr>
        <w:rFonts w:ascii="Arial" w:hAnsi="Arial" w:cs="Arial"/>
        <w:b/>
        <w:sz w:val="22"/>
        <w:szCs w:val="22"/>
        <w:u w:val="single"/>
      </w:rPr>
      <w:t xml:space="preserve">2012 </w:t>
    </w:r>
    <w:smartTag w:uri="urn:schemas-microsoft-com:office:smarttags" w:element="place">
      <w:smartTag w:uri="urn:schemas-microsoft-com:office:smarttags" w:element="State">
        <w:r w:rsidRPr="00807FA0">
          <w:rPr>
            <w:rFonts w:ascii="Arial" w:hAnsi="Arial" w:cs="Arial"/>
            <w:b/>
            <w:sz w:val="22"/>
            <w:szCs w:val="22"/>
            <w:u w:val="single"/>
          </w:rPr>
          <w:t>Queensland</w:t>
        </w:r>
      </w:smartTag>
    </w:smartTag>
    <w:r w:rsidRPr="00807FA0">
      <w:rPr>
        <w:rFonts w:ascii="Arial" w:hAnsi="Arial" w:cs="Arial"/>
        <w:b/>
        <w:sz w:val="22"/>
        <w:szCs w:val="22"/>
        <w:u w:val="single"/>
      </w:rPr>
      <w:t xml:space="preserve"> Gas Market Review</w:t>
    </w:r>
  </w:p>
  <w:p w:rsidR="008C495A" w:rsidRPr="0099011F" w:rsidRDefault="0099011F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99011F">
      <w:rPr>
        <w:rFonts w:ascii="Arial" w:hAnsi="Arial" w:cs="Arial"/>
        <w:b/>
        <w:sz w:val="22"/>
        <w:szCs w:val="22"/>
        <w:u w:val="single"/>
      </w:rPr>
      <w:t>Minister for Energy and Water Supply</w:t>
    </w:r>
  </w:p>
  <w:p w:rsidR="008C495A" w:rsidRDefault="008C495A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A10A30"/>
    <w:multiLevelType w:val="hybridMultilevel"/>
    <w:tmpl w:val="0C706C1C"/>
    <w:lvl w:ilvl="0" w:tplc="0C09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610"/>
        </w:tabs>
        <w:ind w:left="6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330"/>
        </w:tabs>
        <w:ind w:left="733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050"/>
        </w:tabs>
        <w:ind w:left="805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3C001A"/>
    <w:multiLevelType w:val="hybridMultilevel"/>
    <w:tmpl w:val="1BB450A2"/>
    <w:lvl w:ilvl="0" w:tplc="4000A5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598A"/>
    <w:rsid w:val="00035DDF"/>
    <w:rsid w:val="00041AC8"/>
    <w:rsid w:val="00080F8F"/>
    <w:rsid w:val="000F0673"/>
    <w:rsid w:val="00174525"/>
    <w:rsid w:val="001A232D"/>
    <w:rsid w:val="001C2AC7"/>
    <w:rsid w:val="00501C66"/>
    <w:rsid w:val="00651884"/>
    <w:rsid w:val="00704E5F"/>
    <w:rsid w:val="00732E22"/>
    <w:rsid w:val="007D5E26"/>
    <w:rsid w:val="008A433F"/>
    <w:rsid w:val="008C495A"/>
    <w:rsid w:val="008D5A70"/>
    <w:rsid w:val="00910860"/>
    <w:rsid w:val="0091737C"/>
    <w:rsid w:val="0099011F"/>
    <w:rsid w:val="00A203D0"/>
    <w:rsid w:val="00A60583"/>
    <w:rsid w:val="00B87206"/>
    <w:rsid w:val="00BD581D"/>
    <w:rsid w:val="00C65C2C"/>
    <w:rsid w:val="00C66DA0"/>
    <w:rsid w:val="00CB255A"/>
    <w:rsid w:val="00CF0D8A"/>
    <w:rsid w:val="00D64964"/>
    <w:rsid w:val="00D6589B"/>
    <w:rsid w:val="00E16AC3"/>
    <w:rsid w:val="00EC5418"/>
    <w:rsid w:val="00EE1917"/>
    <w:rsid w:val="00EF6AF2"/>
    <w:rsid w:val="00F4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semiHidden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link w:val="BodyChar"/>
    <w:rsid w:val="0099011F"/>
    <w:pPr>
      <w:spacing w:line="260" w:lineRule="exact"/>
    </w:pPr>
    <w:rPr>
      <w:rFonts w:ascii="Arial" w:hAnsi="Arial"/>
      <w:sz w:val="22"/>
      <w:szCs w:val="22"/>
      <w:lang w:eastAsia="en-US"/>
    </w:rPr>
  </w:style>
  <w:style w:type="character" w:customStyle="1" w:styleId="BodyChar">
    <w:name w:val="Body Char"/>
    <w:link w:val="Body"/>
    <w:locked/>
    <w:rsid w:val="0099011F"/>
    <w:rPr>
      <w:rFonts w:ascii="Arial" w:eastAsia="Times New Roman" w:hAnsi="Arial" w:cs="Times New Roman"/>
      <w:color w:val="000000"/>
    </w:rPr>
  </w:style>
  <w:style w:type="character" w:styleId="Hyperlink">
    <w:name w:val="Hyperlink"/>
    <w:uiPriority w:val="99"/>
    <w:unhideWhenUsed/>
    <w:rsid w:val="001745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Attachment%20-%202012%20Qld%20Gas%20Market%20Review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878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1032</CharactersWithSpaces>
  <SharedDoc>false</SharedDoc>
  <HyperlinkBase>https://www.cabinet.qld.gov.au/documents/2012/Sep/Gas Market Review/</HyperlinkBase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Attachments/Attachment - 2012 Qld Gas Market Review.PDF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2017-10-24T23:21:00Z</dcterms:created>
  <dcterms:modified xsi:type="dcterms:W3CDTF">2018-03-06T01:15:00Z</dcterms:modified>
  <cp:category>Gas,energy</cp:category>
</cp:coreProperties>
</file>